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Na temelju članka ______ ______________________________ (društvenog ugovora, statuta ili pravilnika o radu), članka 9. stavka 1. Zakona o porezu na dohodak (Nar. nov., br. 115/16. – 152/24.) i članka 7. stavka 2. r. br. 34. i r. br. 35. Pravilnika o porezu na dohodak (Nar. nov., br. 10/17. – 157/25.), zakonski zastupnik pravne osobe __________________________________, OIB: ________________ (dalje: Poslodavac), donosi</w:t>
      </w:r>
    </w:p>
    <w:p>
      <w:pPr>
        <w:spacing w:after="60" w:line="276"/>
      </w:pPr>
      <w:r>
        <w:rPr>
          <w:rFonts w:ascii="Calibri" w:cs="Calibri" w:eastAsia="Calibri" w:hAnsi="Calibri"/>
          <w:sz w:val="22"/>
          <w:szCs w:val="22"/>
        </w:rPr>
        <w:t xml:space="preserve">Broj odluke: ________________</w:t>
      </w:r>
    </w:p>
    <w:p>
      <w:pPr>
        <w:spacing w:after="320" w:line="276"/>
      </w:pPr>
      <w:r>
        <w:rPr>
          <w:rFonts w:ascii="Calibri" w:cs="Calibri" w:eastAsia="Calibri" w:hAnsi="Calibri"/>
          <w:sz w:val="22"/>
          <w:szCs w:val="22"/>
        </w:rPr>
        <w:t xml:space="preserve">U ______________________, dana ______________ 2026. godine</w:t>
      </w:r>
    </w:p>
    <w:p>
      <w:pPr>
        <w:spacing w:after="60" w:line="276"/>
        <w:jc w:val="center"/>
      </w:pPr>
      <w:r>
        <w:rPr>
          <w:rFonts w:ascii="Calibri" w:cs="Calibri" w:eastAsia="Calibri" w:hAnsi="Calibri"/>
          <w:b/>
          <w:bCs/>
          <w:color w:val="252C6B"/>
          <w:sz w:val="26"/>
          <w:szCs w:val="26"/>
        </w:rPr>
        <w:t xml:space="preserve">ODLUKU O PODMIRIVANJU</w:t>
      </w:r>
    </w:p>
    <w:p>
      <w:pPr>
        <w:spacing w:after="340" w:line="276"/>
        <w:jc w:val="center"/>
      </w:pPr>
      <w:r>
        <w:rPr>
          <w:rFonts w:ascii="Calibri" w:cs="Calibri" w:eastAsia="Calibri" w:hAnsi="Calibri"/>
          <w:b/>
          <w:bCs/>
          <w:color w:val="252C6B"/>
          <w:sz w:val="26"/>
          <w:szCs w:val="26"/>
        </w:rPr>
        <w:t xml:space="preserve">TROŠKOVA PREHRANE RADNIKA ZA 2026. GODINU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1.</w:t>
      </w:r>
    </w:p>
    <w:p>
      <w:pPr>
        <w:spacing w:after="110" w:line="276"/>
      </w:pPr>
      <w:r>
        <w:rPr>
          <w:rFonts w:ascii="Calibri" w:cs="Calibri" w:eastAsia="Calibri" w:hAnsi="Calibri"/>
          <w:sz w:val="22"/>
          <w:szCs w:val="22"/>
        </w:rPr>
        <w:t xml:space="preserve">Poslodavac će radnicima podmirivati troškove prehrane za 2026. godinu na jedan od sljedećih načina (zaokružiti odnosno prilagoditi):</w:t>
      </w:r>
    </w:p>
    <w:p>
      <w:pPr>
        <w:spacing w:after="110" w:line="276"/>
      </w:pPr>
      <w:r>
        <w:rPr>
          <w:rFonts w:ascii="Calibri" w:cs="Calibri" w:eastAsia="Calibri" w:hAnsi="Calibri"/>
          <w:sz w:val="22"/>
          <w:szCs w:val="22"/>
        </w:rPr>
        <w:t xml:space="preserve">a) isplatom novčane paušalne naknade za podmirivanje troškova prehrane u iznosu od __________ € mjesečno (najviše 100,00 € mjesečno, odnosno 1.200,00 € godišnje), ili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b) podmirivanjem troškova prehrane nastalih za vrijeme radnog odnosa na temelju vjerodostojne dokumentacije, do __________ € mjesečno (najviše 150,00 € mjesečno, odnosno 1.800,00 € godišnje), bezgotovinskim putem, na temelju ugovora s ugostiteljskim objektom odnosno trgovinom.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2.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Paušalna naknada iz članka 1. točke a) isplaćuje se radnicima na tekuće račune zajedno s isplatom plaće.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3.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Novčana paušalna naknada i podmirivanje troškova prehrane na temelju vjerodostojne dokumentacije međusobno se isključuju na razini istog mjeseca. Iznos iznad neoporezivog u pravilu se smatra oporezivim primitkom od nesamostalnog rada.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4.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Ova Odluka stupa na snagu danom donošenja.</w:t>
      </w:r>
    </w:p>
    <w:p>
      <w:pPr>
        <w:spacing w:after="32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ZA POSLODAVCA</w:t>
      </w:r>
    </w:p>
    <w:p>
      <w:pPr>
        <w:spacing w:after="4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</w:t>
      </w:r>
    </w:p>
    <w:p>
      <w:pPr>
        <w:spacing w:after="0" w:line="276"/>
        <w:jc w:val="right"/>
      </w:pPr>
      <w:r>
        <w:rPr>
          <w:rFonts w:ascii="Calibri" w:cs="Calibri" w:eastAsia="Calibri" w:hAnsi="Calibri"/>
          <w:i/>
          <w:iCs/>
          <w:color w:val="6A6A6A"/>
          <w:sz w:val="18"/>
          <w:szCs w:val="18"/>
        </w:rPr>
        <w:t xml:space="preserve">zakonski zastupnik</w:t>
      </w:r>
    </w:p>
    <w:sectPr>
      <w:footerReference w:type="default" r:id="rId7"/>
      <w:pgSz w:w="11906" w:h="16838" w:orient="portrait"/>
      <w:pgMar w:top="1134" w:right="1418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i/>
        <w:iCs/>
        <w:color w:val="252C6B"/>
        <w:sz w:val="16"/>
        <w:szCs w:val="16"/>
      </w:rPr>
      <w:t xml:space="preserve">BrutoNeto.hr  •  Primjeri odluka (2026. godina)  •  bruto-neto.hr</w:t>
    </w:r>
  </w:p>
  <w:p>
    <w:pPr>
      <w:jc w:val="center"/>
    </w:pPr>
    <w:r>
      <w:rPr>
        <w:rFonts w:ascii="Calibri" w:cs="Calibri" w:eastAsia="Calibri" w:hAnsi="Calibri"/>
        <w:i/>
        <w:iCs/>
        <w:color w:val="6A6A6A"/>
        <w:sz w:val="14"/>
        <w:szCs w:val="14"/>
      </w:rPr>
      <w:t xml:space="preserve">Primjer je pripremljen prema propisima važećima za 2026. godinu i prilagođava se svakom poslodavcu.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2026-07-23T16:06:15.948Z</dcterms:created>
  <dcterms:modified xsi:type="dcterms:W3CDTF">2026-07-23T16:06:15.948Z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