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 w:line="276"/>
      </w:pPr>
      <w:r>
        <w:rPr>
          <w:rFonts w:ascii="Calibri" w:cs="Calibri" w:eastAsia="Calibri" w:hAnsi="Calibri"/>
          <w:sz w:val="22"/>
          <w:szCs w:val="22"/>
        </w:rPr>
        <w:t xml:space="preserve">Na temelju članka ______ ______________________________ (društvenog ugovora, statuta ili pravilnika o radu), članka 9. stavka 1. Zakona o porezu na dohodak (Nar. nov., br. 115/16. – 152/24.) i članka 7. stavka 2. r. br. 18. Pravilnika o porezu na dohodak (Nar. nov., br. 10/17. – 157/25.), zakonski zastupnik pravne osobe __________________________________, OIB: ________________ (dalje: Poslodavac), donosi</w:t>
      </w:r>
    </w:p>
    <w:p>
      <w:pPr>
        <w:spacing w:after="60" w:line="276"/>
      </w:pPr>
      <w:r>
        <w:rPr>
          <w:rFonts w:ascii="Calibri" w:cs="Calibri" w:eastAsia="Calibri" w:hAnsi="Calibri"/>
          <w:sz w:val="22"/>
          <w:szCs w:val="22"/>
        </w:rPr>
        <w:t xml:space="preserve">Broj odluke: ________________</w:t>
      </w:r>
    </w:p>
    <w:p>
      <w:pPr>
        <w:spacing w:after="320" w:line="276"/>
      </w:pPr>
      <w:r>
        <w:rPr>
          <w:rFonts w:ascii="Calibri" w:cs="Calibri" w:eastAsia="Calibri" w:hAnsi="Calibri"/>
          <w:sz w:val="22"/>
          <w:szCs w:val="22"/>
        </w:rPr>
        <w:t xml:space="preserve">U ______________________, dana ______________ 2026. godine</w:t>
      </w:r>
    </w:p>
    <w:p>
      <w:pPr>
        <w:spacing w:after="60" w:line="276"/>
        <w:jc w:val="center"/>
      </w:pPr>
      <w:r>
        <w:rPr>
          <w:rFonts w:ascii="Calibri" w:cs="Calibri" w:eastAsia="Calibri" w:hAnsi="Calibri"/>
          <w:b/>
          <w:bCs/>
          <w:color w:val="252C6B"/>
          <w:sz w:val="26"/>
          <w:szCs w:val="26"/>
        </w:rPr>
        <w:t xml:space="preserve">ODLUKU O ISPLATI</w:t>
      </w:r>
    </w:p>
    <w:p>
      <w:pPr>
        <w:spacing w:after="340" w:line="276"/>
        <w:jc w:val="center"/>
      </w:pPr>
      <w:r>
        <w:rPr>
          <w:rFonts w:ascii="Calibri" w:cs="Calibri" w:eastAsia="Calibri" w:hAnsi="Calibri"/>
          <w:b/>
          <w:bCs/>
          <w:color w:val="252C6B"/>
          <w:sz w:val="26"/>
          <w:szCs w:val="26"/>
        </w:rPr>
        <w:t xml:space="preserve">NOVČANE NAGRADE ZA RADNE REZULTATE ZA 2026. GODINU</w:t>
      </w:r>
    </w:p>
    <w:p>
      <w:pPr>
        <w:spacing w:after="110" w:line="276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Članak 1.</w:t>
      </w:r>
    </w:p>
    <w:p>
      <w:pPr>
        <w:spacing w:after="110" w:line="276"/>
      </w:pPr>
      <w:r>
        <w:rPr>
          <w:rFonts w:ascii="Calibri" w:cs="Calibri" w:eastAsia="Calibri" w:hAnsi="Calibri"/>
          <w:sz w:val="22"/>
          <w:szCs w:val="22"/>
        </w:rPr>
        <w:t xml:space="preserve">Radnicima Poslodavca utvrđuje se pravo na novčanu nagradu za radne rezultate i druge oblike dodatnog nagrađivanja za 2026. godinu, i to (zaokružiti odnosno prilagoditi):</w:t>
      </w:r>
    </w:p>
    <w:p>
      <w:pPr>
        <w:spacing w:after="110" w:line="276"/>
      </w:pPr>
      <w:r>
        <w:rPr>
          <w:rFonts w:ascii="Calibri" w:cs="Calibri" w:eastAsia="Calibri" w:hAnsi="Calibri"/>
          <w:sz w:val="22"/>
          <w:szCs w:val="22"/>
        </w:rPr>
        <w:t xml:space="preserve">a) jednokratno, u iznosu od ____________ € po radniku, ili</w:t>
      </w:r>
    </w:p>
    <w:p>
      <w:pPr>
        <w:spacing w:after="230" w:line="276"/>
      </w:pPr>
      <w:r>
        <w:rPr>
          <w:rFonts w:ascii="Calibri" w:cs="Calibri" w:eastAsia="Calibri" w:hAnsi="Calibri"/>
          <w:sz w:val="22"/>
          <w:szCs w:val="22"/>
        </w:rPr>
        <w:t xml:space="preserve">b) kao dodatak uz mjesečnu plaću, u iznosu od ____________ € mjesečno po radniku.</w:t>
      </w:r>
    </w:p>
    <w:p>
      <w:pPr>
        <w:spacing w:after="110" w:line="276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Članak 2.</w:t>
      </w:r>
    </w:p>
    <w:p>
      <w:pPr>
        <w:spacing w:after="230" w:line="276"/>
      </w:pPr>
      <w:r>
        <w:rPr>
          <w:rFonts w:ascii="Calibri" w:cs="Calibri" w:eastAsia="Calibri" w:hAnsi="Calibri"/>
          <w:sz w:val="22"/>
          <w:szCs w:val="22"/>
        </w:rPr>
        <w:t xml:space="preserve">Nagrada iz članka 1. ove Odluke isplatit će se radnicima na njihove tekuće račune ____________________________ (navesti rok odnosno dinamiku isplate). Radnicima zaposlenima tijekom godine nagrada se može isplatiti razmjerno mjesecima provedenima u radnom odnosu.</w:t>
      </w:r>
    </w:p>
    <w:p>
      <w:pPr>
        <w:spacing w:after="110" w:line="276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Članak 3.</w:t>
      </w:r>
    </w:p>
    <w:p>
      <w:pPr>
        <w:spacing w:after="230" w:line="276"/>
      </w:pPr>
      <w:r>
        <w:rPr>
          <w:rFonts w:ascii="Calibri" w:cs="Calibri" w:eastAsia="Calibri" w:hAnsi="Calibri"/>
          <w:sz w:val="22"/>
          <w:szCs w:val="22"/>
        </w:rPr>
        <w:t xml:space="preserve">Neoporezivi iznos novčanih nagrada za radne rezultate i drugih oblika dodatnog nagrađivanja (dodatna plaća, dodatak uz mjesečnu plaću i slično) iznosi ukupno do 1.200,00 € godišnje po radniku. Iznos iznad neoporezivog u pravilu se smatra oporezivim primitkom od nesamostalnog rada.</w:t>
      </w:r>
    </w:p>
    <w:p>
      <w:pPr>
        <w:spacing w:after="110" w:line="276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Članak 4.</w:t>
      </w:r>
    </w:p>
    <w:p>
      <w:pPr>
        <w:spacing w:after="230" w:line="276"/>
      </w:pPr>
      <w:r>
        <w:rPr>
          <w:rFonts w:ascii="Calibri" w:cs="Calibri" w:eastAsia="Calibri" w:hAnsi="Calibri"/>
          <w:sz w:val="22"/>
          <w:szCs w:val="22"/>
        </w:rPr>
        <w:t xml:space="preserve">Ova Odluka stupa na snagu danom donošenja.</w:t>
      </w:r>
    </w:p>
    <w:p>
      <w:pPr>
        <w:spacing w:after="320" w:line="276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ZA POSLODAVCA</w:t>
      </w:r>
    </w:p>
    <w:p>
      <w:pPr>
        <w:spacing w:after="40" w:line="276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</w:t>
      </w:r>
    </w:p>
    <w:p>
      <w:pPr>
        <w:spacing w:after="0" w:line="276"/>
        <w:jc w:val="right"/>
      </w:pPr>
      <w:r>
        <w:rPr>
          <w:rFonts w:ascii="Calibri" w:cs="Calibri" w:eastAsia="Calibri" w:hAnsi="Calibri"/>
          <w:i/>
          <w:iCs/>
          <w:color w:val="6A6A6A"/>
          <w:sz w:val="18"/>
          <w:szCs w:val="18"/>
        </w:rPr>
        <w:t xml:space="preserve">zakonski zastupnik</w:t>
      </w:r>
    </w:p>
    <w:sectPr>
      <w:footerReference w:type="default" r:id="rId7"/>
      <w:pgSz w:w="11906" w:h="16838" w:orient="portrait"/>
      <w:pgMar w:top="1134" w:right="1418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i/>
        <w:iCs/>
        <w:color w:val="252C6B"/>
        <w:sz w:val="16"/>
        <w:szCs w:val="16"/>
      </w:rPr>
      <w:t xml:space="preserve">BrutoNeto.hr  •  Primjeri odluka (2026. godina)  •  bruto-neto.hr</w:t>
    </w:r>
  </w:p>
  <w:p>
    <w:pPr>
      <w:jc w:val="center"/>
    </w:pPr>
    <w:r>
      <w:rPr>
        <w:rFonts w:ascii="Calibri" w:cs="Calibri" w:eastAsia="Calibri" w:hAnsi="Calibri"/>
        <w:i/>
        <w:iCs/>
        <w:color w:val="6A6A6A"/>
        <w:sz w:val="14"/>
        <w:szCs w:val="14"/>
      </w:rPr>
      <w:t xml:space="preserve">Primjer je pripremljen prema propisima važećima za 2026. godinu i prilagođava se svakom poslodavcu.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2026-07-23T16:06:15.930Z</dcterms:created>
  <dcterms:modified xsi:type="dcterms:W3CDTF">2026-07-23T16:06:15.930Z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